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inversely associated with High LDL cholesterol (&gt;=160) (odds ratio per 1-SD of log 0.99 (95% CI 0.87 to 1.13), false discovery rate q 0.883) among 12077 adults aged 20 years or older (a weighted High LDL cholesterol (&gt;=160) prevalence of 10.6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0.99 (95% CI 0.87 to 1.13)</w:t>
            </w:r>
          </w:p>
        </w:tc>
        <w:tc>
          <w:tcPr>
            <w:tcW w:type="dxa" w:w="1234"/>
          </w:tcPr>
          <w:p>
            <w:r>
              <w:t>0.862</w:t>
            </w:r>
          </w:p>
        </w:tc>
        <w:tc>
          <w:tcPr>
            <w:tcW w:type="dxa" w:w="1234"/>
          </w:tcPr>
          <w:p>
            <w:r>
              <w:t>0.883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2.6</w:t>
            </w:r>
          </w:p>
        </w:tc>
        <w:tc>
          <w:tcPr>
            <w:tcW w:type="dxa" w:w="2160"/>
          </w:tcPr>
          <w:p>
            <w:r>
              <w:t>2.6</w:t>
            </w:r>
          </w:p>
        </w:tc>
        <w:tc>
          <w:tcPr>
            <w:tcW w:type="dxa" w:w="2160"/>
          </w:tcPr>
          <w:p>
            <w:r>
              <w:t>2.8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