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High LDL cholesterol (&gt;=160) (odds ratio per 1-SD 0.96 (95% CI 0.85 to 1.07), false discovery rate q 0.488)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1.07)</w:t>
            </w:r>
          </w:p>
        </w:tc>
        <w:tc>
          <w:tcPr>
            <w:tcW w:type="dxa" w:w="1234"/>
          </w:tcPr>
          <w:p>
            <w:r>
              <w:t>0.439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165.6</w:t>
            </w:r>
          </w:p>
        </w:tc>
        <w:tc>
          <w:tcPr>
            <w:tcW w:type="dxa" w:w="2160"/>
          </w:tcPr>
          <w:p>
            <w:r>
              <w:t>165.6</w:t>
            </w:r>
          </w:p>
        </w:tc>
        <w:tc>
          <w:tcPr>
            <w:tcW w:type="dxa" w:w="2160"/>
          </w:tcPr>
          <w:p>
            <w:r>
              <w:t>165.5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