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High LDL cholesterol (&gt;=160) (odds ratio 1.01 (95% CI 0.83 to 1.23), false discovery rate q 0.958)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0.83 to 1.23)</w:t>
            </w:r>
          </w:p>
        </w:tc>
        <w:tc>
          <w:tcPr>
            <w:tcW w:type="dxa" w:w="1234"/>
          </w:tcPr>
          <w:p>
            <w:r>
              <w:t>0.951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30.5%</w:t>
            </w:r>
          </w:p>
        </w:tc>
        <w:tc>
          <w:tcPr>
            <w:tcW w:type="dxa" w:w="2160"/>
          </w:tcPr>
          <w:p>
            <w:r>
              <w:t>29.6%</w:t>
            </w:r>
          </w:p>
        </w:tc>
        <w:tc>
          <w:tcPr>
            <w:tcW w:type="dxa" w:w="2160"/>
          </w:tcPr>
          <w:p>
            <w:r>
              <w:t>38.5%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