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High LDL cholesterol (&gt;=160)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Hypertriglyceridemia (NCEP TG&gt;=150) was positively associated with High LDL cholesterol (&gt;=160) (odds ratio 1.66 (95% CI 1.42 to 1.94), false discovery rate q &lt;0.001) among 12077 adults aged 20 years or older (a weighted High LDL cholesterol (&gt;=160) prevalence of 10.6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1.66 (95% CI 1.42 to 1.94)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Hypertriglyceridemia (NCEP TG&gt;=150) (exposure)</w:t>
            </w:r>
          </w:p>
        </w:tc>
        <w:tc>
          <w:tcPr>
            <w:tcW w:type="dxa" w:w="2160"/>
          </w:tcPr>
          <w:p>
            <w:r>
              <w:t>44.2%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57.4%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55.2%</w:t>
            </w:r>
          </w:p>
        </w:tc>
        <w:tc>
          <w:tcPr>
            <w:tcW w:type="dxa" w:w="2160"/>
          </w:tcPr>
          <w:p>
            <w:r>
              <w:t>55.1%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24.5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91.8%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