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High LDL cholesterol (&gt;=160) (odds ratio 1.04 (95% CI 0.77 to 1.39), false discovery rate q 0.837)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0.77 to 1.39)</w:t>
            </w:r>
          </w:p>
        </w:tc>
        <w:tc>
          <w:tcPr>
            <w:tcW w:type="dxa" w:w="1234"/>
          </w:tcPr>
          <w:p>
            <w:r>
              <w:t>0.809</w:t>
            </w:r>
          </w:p>
        </w:tc>
        <w:tc>
          <w:tcPr>
            <w:tcW w:type="dxa" w:w="1234"/>
          </w:tcPr>
          <w:p>
            <w:r>
              <w:t>0.837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35.6%</w:t>
            </w:r>
          </w:p>
        </w:tc>
        <w:tc>
          <w:tcPr>
            <w:tcW w:type="dxa" w:w="2160"/>
          </w:tcPr>
          <w:p>
            <w:r>
              <w:t>34.8%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