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inversely associated with High LDL cholesterol (&gt;=160) (odds ratio per 1-SD 0.93 (95% CI 0.72 to 1.19), false discovery rate q 0.602) among 12077 adults aged 20 years or older (a weighted High LDL cholesterol (&gt;=160) prevalence of 10.6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0.93 (95% CI 0.72 to 1.19)</w:t>
            </w:r>
          </w:p>
        </w:tc>
        <w:tc>
          <w:tcPr>
            <w:tcW w:type="dxa" w:w="1234"/>
          </w:tcPr>
          <w:p>
            <w:r>
              <w:t>0.555</w:t>
            </w:r>
          </w:p>
        </w:tc>
        <w:tc>
          <w:tcPr>
            <w:tcW w:type="dxa" w:w="1234"/>
          </w:tcPr>
          <w:p>
            <w:r>
              <w:t>0.602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