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positively associated with High LDL cholesterol (&gt;=160) (odds ratio 1.14 (95% CI 0.95 to 1.38), false discovery rate q 0.198)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0.95 to 1.38)</w:t>
            </w:r>
          </w:p>
        </w:tc>
        <w:tc>
          <w:tcPr>
            <w:tcW w:type="dxa" w:w="1234"/>
          </w:tcPr>
          <w:p>
            <w:r>
              <w:t>0.164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26.3%</w:t>
            </w:r>
          </w:p>
        </w:tc>
        <w:tc>
          <w:tcPr>
            <w:tcW w:type="dxa" w:w="2160"/>
          </w:tcPr>
          <w:p>
            <w:r>
              <w:t>25.4%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