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Metabolic syndrome was inversely associated with High LDL cholesterol (&gt;=160) (odds ratio 0.87 (95% CI 0.72 to 1.04), false discovery rate q 0.154) among 12077 adults aged 20 years or older (a weighted High LDL cholesterol (&gt;=160) prevalence of 10.6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0.87 (95% CI 0.72 to 1.04)</w:t>
            </w:r>
          </w:p>
        </w:tc>
        <w:tc>
          <w:tcPr>
            <w:tcW w:type="dxa" w:w="1234"/>
          </w:tcPr>
          <w:p>
            <w:r>
              <w:t>0.124</w:t>
            </w:r>
          </w:p>
        </w:tc>
        <w:tc>
          <w:tcPr>
            <w:tcW w:type="dxa" w:w="1234"/>
          </w:tcPr>
          <w:p>
            <w:r>
              <w:t>0.154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Metabolic syndrome (exposure)</w:t>
            </w:r>
          </w:p>
        </w:tc>
        <w:tc>
          <w:tcPr>
            <w:tcW w:type="dxa" w:w="2160"/>
          </w:tcPr>
          <w:p>
            <w:r>
              <w:t>36.6%</w:t>
            </w:r>
          </w:p>
        </w:tc>
        <w:tc>
          <w:tcPr>
            <w:tcW w:type="dxa" w:w="2160"/>
          </w:tcPr>
          <w:p>
            <w:r>
              <w:t>36.1%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