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High LDL cholesterol (&gt;=160) (odds ratio 1.10 (95% CI 0.54 to 2.21), false discovery rate q 0.830)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0.54 to 2.21)</w:t>
            </w:r>
          </w:p>
        </w:tc>
        <w:tc>
          <w:tcPr>
            <w:tcW w:type="dxa" w:w="1234"/>
          </w:tcPr>
          <w:p>
            <w:r>
              <w:t>0.800</w:t>
            </w:r>
          </w:p>
        </w:tc>
        <w:tc>
          <w:tcPr>
            <w:tcW w:type="dxa" w:w="1234"/>
          </w:tcPr>
          <w:p>
            <w:r>
              <w:t>0.830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21.5%</w:t>
            </w:r>
          </w:p>
        </w:tc>
        <w:tc>
          <w:tcPr>
            <w:tcW w:type="dxa" w:w="2160"/>
          </w:tcPr>
          <w:p>
            <w:r>
              <w:t>21.0%</w:t>
            </w:r>
          </w:p>
        </w:tc>
        <w:tc>
          <w:tcPr>
            <w:tcW w:type="dxa" w:w="2160"/>
          </w:tcPr>
          <w:p>
            <w:r>
              <w:t>25.7%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