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Systolic blood pressure, mmHg and High LDL cholesterol (&gt;=160)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Systolic blood pressure, mmHg was positively associated with High LDL cholesterol (&gt;=160) (odds ratio per 1-SD 1.03 (95% CI 0.95 to 1.12), false discovery rate q 0.520) among 12077 adults aged 20 years or older (a weighted High LDL cholesterol (&gt;=160) prevalence of 10.6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1.03 (95% CI 0.95 to 1.12)</w:t>
            </w:r>
          </w:p>
        </w:tc>
        <w:tc>
          <w:tcPr>
            <w:tcW w:type="dxa" w:w="1234"/>
          </w:tcPr>
          <w:p>
            <w:r>
              <w:t>0.471</w:t>
            </w:r>
          </w:p>
        </w:tc>
        <w:tc>
          <w:tcPr>
            <w:tcW w:type="dxa" w:w="1234"/>
          </w:tcPr>
          <w:p>
            <w:r>
              <w:t>0.520</w:t>
            </w:r>
          </w:p>
        </w:tc>
        <w:tc>
          <w:tcPr>
            <w:tcW w:type="dxa" w:w="1234"/>
          </w:tcPr>
          <w:p>
            <w:r>
              <w:t>12077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LDL cholesterol (&gt;=160)</w:t>
            </w:r>
          </w:p>
        </w:tc>
        <w:tc>
          <w:tcPr>
            <w:tcW w:type="dxa" w:w="2160"/>
          </w:tcPr>
          <w:p>
            <w:r>
              <w:t>High LDL cholesterol (&gt;=160)</w:t>
            </w:r>
          </w:p>
        </w:tc>
      </w:tr>
      <w:tr>
        <w:tc>
          <w:tcPr>
            <w:tcW w:type="dxa" w:w="2160"/>
          </w:tcPr>
          <w:p>
            <w:r>
              <w:t>Systolic blood pressure, mmHg (exposure)</w:t>
            </w:r>
          </w:p>
        </w:tc>
        <w:tc>
          <w:tcPr>
            <w:tcW w:type="dxa" w:w="2160"/>
          </w:tcPr>
          <w:p>
            <w:r>
              <w:t>119.3</w:t>
            </w:r>
          </w:p>
        </w:tc>
        <w:tc>
          <w:tcPr>
            <w:tcW w:type="dxa" w:w="2160"/>
          </w:tcPr>
          <w:p>
            <w:r>
              <w:t>119.1</w:t>
            </w:r>
          </w:p>
        </w:tc>
        <w:tc>
          <w:tcPr>
            <w:tcW w:type="dxa" w:w="2160"/>
          </w:tcPr>
          <w:p>
            <w:r>
              <w:t>120.9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47.8</w:t>
            </w:r>
          </w:p>
        </w:tc>
        <w:tc>
          <w:tcPr>
            <w:tcW w:type="dxa" w:w="2160"/>
          </w:tcPr>
          <w:p>
            <w:r>
              <w:t>48.5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55.2%</w:t>
            </w:r>
          </w:p>
        </w:tc>
        <w:tc>
          <w:tcPr>
            <w:tcW w:type="dxa" w:w="2160"/>
          </w:tcPr>
          <w:p>
            <w:r>
              <w:t>55.1%</w:t>
            </w:r>
          </w:p>
        </w:tc>
        <w:tc>
          <w:tcPr>
            <w:tcW w:type="dxa" w:w="2160"/>
          </w:tcPr>
          <w:p>
            <w:r>
              <w:t>56.4%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24.5</w:t>
            </w:r>
          </w:p>
        </w:tc>
        <w:tc>
          <w:tcPr>
            <w:tcW w:type="dxa" w:w="2160"/>
          </w:tcPr>
          <w:p>
            <w:r>
              <w:t>24.4</w:t>
            </w:r>
          </w:p>
        </w:tc>
        <w:tc>
          <w:tcPr>
            <w:tcW w:type="dxa" w:w="2160"/>
          </w:tcPr>
          <w:p>
            <w:r>
              <w:t>25.5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48.8%</w:t>
            </w:r>
          </w:p>
        </w:tc>
        <w:tc>
          <w:tcPr>
            <w:tcW w:type="dxa" w:w="2160"/>
          </w:tcPr>
          <w:p>
            <w:r>
              <w:t>48.8%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91.9%</w:t>
            </w:r>
          </w:p>
        </w:tc>
        <w:tc>
          <w:tcPr>
            <w:tcW w:type="dxa" w:w="2160"/>
          </w:tcPr>
          <w:p>
            <w:r>
              <w:t>91.8%</w:t>
            </w:r>
          </w:p>
        </w:tc>
        <w:tc>
          <w:tcPr>
            <w:tcW w:type="dxa" w:w="2160"/>
          </w:tcPr>
          <w:p>
            <w:r>
              <w:t>92.4%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