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inversely associated with High LDL cholesterol (&gt;=160) (odds ratio per 1-SD 0.97 (95% CI 0.93 to 1.02), false discovery rate q 0.310)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0.97 (95% CI 0.93 to 1.02)</w:t>
            </w:r>
          </w:p>
        </w:tc>
        <w:tc>
          <w:tcPr>
            <w:tcW w:type="dxa" w:w="1234"/>
          </w:tcPr>
          <w:p>
            <w:r>
              <w:t>0.265</w:t>
            </w:r>
          </w:p>
        </w:tc>
        <w:tc>
          <w:tcPr>
            <w:tcW w:type="dxa" w:w="1234"/>
          </w:tcPr>
          <w:p>
            <w:r>
              <w:t>0.310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176.2</w:t>
            </w:r>
          </w:p>
        </w:tc>
        <w:tc>
          <w:tcPr>
            <w:tcW w:type="dxa" w:w="2160"/>
          </w:tcPr>
          <w:p>
            <w:r>
              <w:t>175.6</w:t>
            </w:r>
          </w:p>
        </w:tc>
        <w:tc>
          <w:tcPr>
            <w:tcW w:type="dxa" w:w="2160"/>
          </w:tcPr>
          <w:p>
            <w:r>
              <w:t>181.2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