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eGFR (CKD-EPI 2021), mL/min/1.73m2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eGFR (CKD-EPI 2021), mL/min/1.73m2 was inversely associated with High non-HDL cholesterol (&gt;=190) (odds ratio per 1-SD 0.89 (95% CI 0.83 to 0.94),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0.89 (95% CI 0.83 to 0.94)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eGFR (CKD-EPI 2021), mL/min/1.73m2 (exposure)</w:t>
            </w:r>
          </w:p>
        </w:tc>
        <w:tc>
          <w:tcPr>
            <w:tcW w:type="dxa" w:w="2160"/>
          </w:tcPr>
          <w:p>
            <w:r>
              <w:t>100.9</w:t>
            </w:r>
          </w:p>
        </w:tc>
        <w:tc>
          <w:tcPr>
            <w:tcW w:type="dxa" w:w="2160"/>
          </w:tcPr>
          <w:p>
            <w:r>
              <w:t>101.3</w:t>
            </w:r>
          </w:p>
        </w:tc>
        <w:tc>
          <w:tcPr>
            <w:tcW w:type="dxa" w:w="2160"/>
          </w:tcPr>
          <w:p>
            <w:r>
              <w:t>97.7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