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glucose, mg/dL and High non-HDL cholesterol (&gt;=190)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Fasting glucose, mg/dL was positively associated with High non-HDL cholesterol (&gt;=190) (odds ratio per 1-SD 1.15 (95% CI 1.11 to 1.20), false discovery rate q &lt;0.001) among 35794 adults aged 20 years or older (a weighted High non-HDL cholesterol (&gt;=190) prevalence of 8.8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1.15 (95% CI 1.11 to 1.20)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non-HDL cholesterol (&gt;=190)</w:t>
            </w:r>
          </w:p>
        </w:tc>
        <w:tc>
          <w:tcPr>
            <w:tcW w:type="dxa" w:w="2160"/>
          </w:tcPr>
          <w:p>
            <w:r>
              <w:t>High non-HDL cholesterol (&gt;=190)</w:t>
            </w:r>
          </w:p>
        </w:tc>
      </w:tr>
      <w:tr>
        <w:tc>
          <w:tcPr>
            <w:tcW w:type="dxa" w:w="2160"/>
          </w:tcPr>
          <w:p>
            <w:r>
              <w:t>Fasting glucose, mg/dL (exposure)</w:t>
            </w:r>
          </w:p>
        </w:tc>
        <w:tc>
          <w:tcPr>
            <w:tcW w:type="dxa" w:w="2160"/>
          </w:tcPr>
          <w:p>
            <w:r>
              <w:t>99.3</w:t>
            </w:r>
          </w:p>
        </w:tc>
        <w:tc>
          <w:tcPr>
            <w:tcW w:type="dxa" w:w="2160"/>
          </w:tcPr>
          <w:p>
            <w:r>
              <w:t>98.6</w:t>
            </w:r>
          </w:p>
        </w:tc>
        <w:tc>
          <w:tcPr>
            <w:tcW w:type="dxa" w:w="2160"/>
          </w:tcPr>
          <w:p>
            <w:r>
              <w:t>106.7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49.6%</w:t>
            </w:r>
          </w:p>
        </w:tc>
        <w:tc>
          <w:tcPr>
            <w:tcW w:type="dxa" w:w="2160"/>
          </w:tcPr>
          <w:p>
            <w:r>
              <w:t>56.6%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23.8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  <w:tc>
          <w:tcPr>
            <w:tcW w:type="dxa" w:w="2160"/>
          </w:tcPr>
          <w:p>
            <w:r>
              <w:t>52.5%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90.7%</w:t>
            </w:r>
          </w:p>
        </w:tc>
        <w:tc>
          <w:tcPr>
            <w:tcW w:type="dxa" w:w="2160"/>
          </w:tcPr>
          <w:p>
            <w:r>
              <w:t>89.4%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