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High non-HDL cholesterol (&gt;=190)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Osteoporosis (T-score&lt;=-2.5, age&gt;=50) was positively associated with High non-HDL cholesterol (&gt;=190) (odds ratio 1.36 (95% CI 1.01 to 1.83), false discovery rate q 0.057) among 35794 adults aged 20 years or older (a weighted High non-HDL cholesterol (&gt;=190) prevalence of 8.8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1.36 (95% CI 1.01 to 1.83)</w:t>
            </w:r>
          </w:p>
        </w:tc>
        <w:tc>
          <w:tcPr>
            <w:tcW w:type="dxa" w:w="1234"/>
          </w:tcPr>
          <w:p>
            <w:r>
              <w:t>0.043</w:t>
            </w:r>
          </w:p>
        </w:tc>
        <w:tc>
          <w:tcPr>
            <w:tcW w:type="dxa" w:w="1234"/>
          </w:tcPr>
          <w:p>
            <w:r>
              <w:t>0.057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Osteoporosis (T-score&lt;=-2.5, age&gt;=50) (exposure)</w:t>
            </w:r>
          </w:p>
        </w:tc>
        <w:tc>
          <w:tcPr>
            <w:tcW w:type="dxa" w:w="2160"/>
          </w:tcPr>
          <w:p>
            <w:r>
              <w:t>30.0%</w:t>
            </w:r>
          </w:p>
        </w:tc>
        <w:tc>
          <w:tcPr>
            <w:tcW w:type="dxa" w:w="2160"/>
          </w:tcPr>
          <w:p>
            <w:r>
              <w:t>29.3%</w:t>
            </w:r>
          </w:p>
        </w:tc>
        <w:tc>
          <w:tcPr>
            <w:tcW w:type="dxa" w:w="2160"/>
          </w:tcPr>
          <w:p>
            <w:r>
              <w:t>34.9%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  <w:tc>
          <w:tcPr>
            <w:tcW w:type="dxa" w:w="2160"/>
          </w:tcPr>
          <w:p>
            <w:r>
              <w:t>56.6%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52.5%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89.4%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