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Triglycerides, mg/dL and High non-HDL cholesterol (&gt;=190)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Triglycerides, mg/dL was positively associated with High non-HDL cholesterol (&gt;=190) (odds ratio per 1-SD 1.83 (95% CI 1.74 to 1.93), false discovery rate q &lt;0.001) among 35794 adults aged 20 years or older (a weighted High non-HDL cholesterol (&gt;=190) prevalence of 8.8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Triglycerides, mg/dL</w:t>
            </w:r>
          </w:p>
        </w:tc>
        <w:tc>
          <w:tcPr>
            <w:tcW w:type="dxa" w:w="1234"/>
          </w:tcPr>
          <w:p>
            <w:r>
              <w:t>High non-HDL cholesterol (&gt;=190)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1.83 (95% CI 1.74 to 1.93)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35794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High non-HDL cholesterol (&gt;=190)</w:t>
            </w:r>
          </w:p>
        </w:tc>
        <w:tc>
          <w:tcPr>
            <w:tcW w:type="dxa" w:w="2160"/>
          </w:tcPr>
          <w:p>
            <w:r>
              <w:t>High non-HDL cholesterol (&gt;=190)</w:t>
            </w:r>
          </w:p>
        </w:tc>
      </w:tr>
      <w:tr>
        <w:tc>
          <w:tcPr>
            <w:tcW w:type="dxa" w:w="2160"/>
          </w:tcPr>
          <w:p>
            <w:r>
              <w:t>Triglycerides, mg/dL (exposure)</w:t>
            </w:r>
          </w:p>
        </w:tc>
        <w:tc>
          <w:tcPr>
            <w:tcW w:type="dxa" w:w="2160"/>
          </w:tcPr>
          <w:p>
            <w:r>
              <w:t>135.9</w:t>
            </w:r>
          </w:p>
        </w:tc>
        <w:tc>
          <w:tcPr>
            <w:tcW w:type="dxa" w:w="2160"/>
          </w:tcPr>
          <w:p>
            <w:r>
              <w:t>125.5</w:t>
            </w:r>
          </w:p>
        </w:tc>
        <w:tc>
          <w:tcPr>
            <w:tcW w:type="dxa" w:w="2160"/>
          </w:tcPr>
          <w:p>
            <w:r>
              <w:t>243.9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46.9</w:t>
            </w:r>
          </w:p>
        </w:tc>
        <w:tc>
          <w:tcPr>
            <w:tcW w:type="dxa" w:w="2160"/>
          </w:tcPr>
          <w:p>
            <w:r>
              <w:t>50.2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50.2%</w:t>
            </w:r>
          </w:p>
        </w:tc>
        <w:tc>
          <w:tcPr>
            <w:tcW w:type="dxa" w:w="2160"/>
          </w:tcPr>
          <w:p>
            <w:r>
              <w:t>49.6%</w:t>
            </w:r>
          </w:p>
        </w:tc>
        <w:tc>
          <w:tcPr>
            <w:tcW w:type="dxa" w:w="2160"/>
          </w:tcPr>
          <w:p>
            <w:r>
              <w:t>56.6%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24.0</w:t>
            </w:r>
          </w:p>
        </w:tc>
        <w:tc>
          <w:tcPr>
            <w:tcW w:type="dxa" w:w="2160"/>
          </w:tcPr>
          <w:p>
            <w:r>
              <w:t>23.8</w:t>
            </w:r>
          </w:p>
        </w:tc>
        <w:tc>
          <w:tcPr>
            <w:tcW w:type="dxa" w:w="2160"/>
          </w:tcPr>
          <w:p>
            <w:r>
              <w:t>25.5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44.1%</w:t>
            </w:r>
          </w:p>
        </w:tc>
        <w:tc>
          <w:tcPr>
            <w:tcW w:type="dxa" w:w="2160"/>
          </w:tcPr>
          <w:p>
            <w:r>
              <w:t>52.5%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90.7%</w:t>
            </w:r>
          </w:p>
        </w:tc>
        <w:tc>
          <w:tcPr>
            <w:tcW w:type="dxa" w:w="2160"/>
          </w:tcPr>
          <w:p>
            <w:r>
              <w:t>89.4%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