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Current smoking and Hypertension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Current smoking was positively associated with Hypertension (odds ratio 1.20 (95% CI 1.10 to 1.30), false discovery rate q &lt;0.001) among 37371 adults aged 20 years or older (a weighted Hypertension prevalence of 27.4 percent, survey-weighted). Confounders: Age, years, Male sex, Body mass index, kg/m2,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1.20 (95% CI 1.10 to 1.30)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37371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Hypertension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</w:tr>
      <w:tr>
        <w:tc>
          <w:tcPr>
            <w:tcW w:type="dxa" w:w="2160"/>
          </w:tcPr>
          <w:p>
            <w:r>
              <w:t>Current smoking (exposure)</w:t>
            </w:r>
          </w:p>
        </w:tc>
        <w:tc>
          <w:tcPr>
            <w:tcW w:type="dxa" w:w="2160"/>
          </w:tcPr>
          <w:p>
            <w:r>
              <w:t>22.2%</w:t>
            </w:r>
          </w:p>
        </w:tc>
        <w:tc>
          <w:tcPr>
            <w:tcW w:type="dxa" w:w="2160"/>
          </w:tcPr>
          <w:p>
            <w:r>
              <w:t>22.5%</w:t>
            </w:r>
          </w:p>
        </w:tc>
        <w:tc>
          <w:tcPr>
            <w:tcW w:type="dxa" w:w="2160"/>
          </w:tcPr>
          <w:p>
            <w:r>
              <w:t>21.1%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43.1</w:t>
            </w:r>
          </w:p>
        </w:tc>
        <w:tc>
          <w:tcPr>
            <w:tcW w:type="dxa" w:w="2160"/>
          </w:tcPr>
          <w:p>
            <w:r>
              <w:t>59.3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54.6%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  <w:tc>
          <w:tcPr>
            <w:tcW w:type="dxa" w:w="2160"/>
          </w:tcPr>
          <w:p>
            <w:r>
              <w:t>25.3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92.2%</w:t>
            </w:r>
          </w:p>
        </w:tc>
        <w:tc>
          <w:tcPr>
            <w:tcW w:type="dxa" w:w="2160"/>
          </w:tcPr>
          <w:p>
            <w:r>
              <w:t>84.7%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