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Hypertension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FIB-4 index was inversely associated with Hypertension (odds ratio per 1-SD 0.97 (95% CI 0.93 to 1.01), false discovery rate q 0.136) among 37371 adults aged 20 years or older (a weighted Hypertension prevalence of 27.4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0.97 (95% CI 0.93 to 1.01)</w:t>
            </w:r>
          </w:p>
        </w:tc>
        <w:tc>
          <w:tcPr>
            <w:tcW w:type="dxa" w:w="1234"/>
          </w:tcPr>
          <w:p>
            <w:r>
              <w:t>0.110</w:t>
            </w:r>
          </w:p>
        </w:tc>
        <w:tc>
          <w:tcPr>
            <w:tcW w:type="dxa" w:w="1234"/>
          </w:tcPr>
          <w:p>
            <w:r>
              <w:t>0.136</w:t>
            </w:r>
          </w:p>
        </w:tc>
        <w:tc>
          <w:tcPr>
            <w:tcW w:type="dxa" w:w="1234"/>
          </w:tcPr>
          <w:p>
            <w:r>
              <w:t>37371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FIB-4 index (exposure)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1.4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54.6%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23.5</w:t>
            </w:r>
          </w:p>
        </w:tc>
        <w:tc>
          <w:tcPr>
            <w:tcW w:type="dxa" w:w="2160"/>
          </w:tcPr>
          <w:p>
            <w:r>
              <w:t>25.3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  <w:tc>
          <w:tcPr>
            <w:tcW w:type="dxa" w:w="2160"/>
          </w:tcPr>
          <w:p>
            <w:r>
              <w:t>92.2%</w:t>
            </w:r>
          </w:p>
        </w:tc>
        <w:tc>
          <w:tcPr>
            <w:tcW w:type="dxa" w:w="2160"/>
          </w:tcPr>
          <w:p>
            <w:r>
              <w:t>84.7%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