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Hypertension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Fasting glucose, mg/dL was positively associated with Hypertension (odds ratio per 1-SD 1.18 (95% CI 1.15 to 1.22), false discovery rate q &lt;0.001) among 37371 adults aged 20 years or older (a weighted Hypertension prevalence of 27.4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1.18 (95% CI 1.15 to 1.22)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37371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Fasting glucose, mg/dL (exposure)</w:t>
            </w:r>
          </w:p>
        </w:tc>
        <w:tc>
          <w:tcPr>
            <w:tcW w:type="dxa" w:w="2160"/>
          </w:tcPr>
          <w:p>
            <w:r>
              <w:t>99.3</w:t>
            </w:r>
          </w:p>
        </w:tc>
        <w:tc>
          <w:tcPr>
            <w:tcW w:type="dxa" w:w="2160"/>
          </w:tcPr>
          <w:p>
            <w:r>
              <w:t>96.2</w:t>
            </w:r>
          </w:p>
        </w:tc>
        <w:tc>
          <w:tcPr>
            <w:tcW w:type="dxa" w:w="2160"/>
          </w:tcPr>
          <w:p>
            <w:r>
              <w:t>107.8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25.3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92.2%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