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Hypertension (odds ratio per 1-SD 1.00 (95% CI 0.97 to 1.04), false discovery rate q 0.837)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0.97 to 1.04)</w:t>
            </w:r>
          </w:p>
        </w:tc>
        <w:tc>
          <w:tcPr>
            <w:tcW w:type="dxa" w:w="1234"/>
          </w:tcPr>
          <w:p>
            <w:r>
              <w:t>0.808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  <w:tc>
          <w:tcPr>
            <w:tcW w:type="dxa" w:w="2160"/>
          </w:tcPr>
          <w:p>
            <w:r>
              <w:t>52.4</w:t>
            </w:r>
          </w:p>
        </w:tc>
        <w:tc>
          <w:tcPr>
            <w:tcW w:type="dxa" w:w="2160"/>
          </w:tcPr>
          <w:p>
            <w:r>
              <w:t>49.1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