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inversely associated with Hypertension (odds ratio 0.88 (95% CI 0.79 to 0.99), false discovery rate q 0.039)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0.88 (95% CI 0.79 to 0.99)</w:t>
            </w:r>
          </w:p>
        </w:tc>
        <w:tc>
          <w:tcPr>
            <w:tcW w:type="dxa" w:w="1234"/>
          </w:tcPr>
          <w:p>
            <w:r>
              <w:t>0.029</w:t>
            </w:r>
          </w:p>
        </w:tc>
        <w:tc>
          <w:tcPr>
            <w:tcW w:type="dxa" w:w="1234"/>
          </w:tcPr>
          <w:p>
            <w:r>
              <w:t>0.039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8.3%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