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Hypertension (odds ratio 1.55 (95% CI 1.39 to 1.72),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1.55 (95% CI 1.39 to 1.72)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  <w:tc>
          <w:tcPr>
            <w:tcW w:type="dxa" w:w="2160"/>
          </w:tcPr>
          <w:p>
            <w:r>
              <w:t>26.2%</w:t>
            </w:r>
          </w:p>
        </w:tc>
        <w:tc>
          <w:tcPr>
            <w:tcW w:type="dxa" w:w="2160"/>
          </w:tcPr>
          <w:p>
            <w:r>
              <w:t>44.0%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