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Overweight (KSSO &gt;=23 / WHO &gt;=25, country-specific) and Hypertension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Overweight (KSSO &gt;=23 / WHO &gt;=25, country-specific) was positively associated with Hypertension (odds ratio 2.66 (95% CI 2.49 to 2.84), false discovery rate q &lt;0.001) among 37371 adults aged 20 years or older (a weighted Hypertension prevalence of 27.4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2.66 (95% CI 2.49 to 2.84)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37371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Overweight (KSSO &gt;=23 / WHO &gt;=25, country-specific) (exposure)</w:t>
            </w:r>
          </w:p>
        </w:tc>
        <w:tc>
          <w:tcPr>
            <w:tcW w:type="dxa" w:w="2160"/>
          </w:tcPr>
          <w:p>
            <w:r>
              <w:t>57.9%</w:t>
            </w:r>
          </w:p>
        </w:tc>
        <w:tc>
          <w:tcPr>
            <w:tcW w:type="dxa" w:w="2160"/>
          </w:tcPr>
          <w:p>
            <w:r>
              <w:t>51.8%</w:t>
            </w:r>
          </w:p>
        </w:tc>
        <w:tc>
          <w:tcPr>
            <w:tcW w:type="dxa" w:w="2160"/>
          </w:tcPr>
          <w:p>
            <w:r>
              <w:t>74.3%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25.3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92.2%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