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Waist circumference, cm and Hypertension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Waist circumference, cm was positively associated with Hypertension (odds ratio per 1-SD 1.87 (95% CI 1.81 to 1.94), false discovery rate q &lt;0.001) among 37371 adults aged 20 years or older (a weighted Hypertension prevalence of 27.4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Waist circumference, cm</w:t>
            </w:r>
          </w:p>
        </w:tc>
        <w:tc>
          <w:tcPr>
            <w:tcW w:type="dxa" w:w="1234"/>
          </w:tcPr>
          <w:p>
            <w:r>
              <w:t>Hypertension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1.87 (95% CI 1.81 to 1.94)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37371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Hypertension</w:t>
            </w:r>
          </w:p>
        </w:tc>
        <w:tc>
          <w:tcPr>
            <w:tcW w:type="dxa" w:w="2160"/>
          </w:tcPr>
          <w:p>
            <w:r>
              <w:t>Hypertension</w:t>
            </w:r>
          </w:p>
        </w:tc>
      </w:tr>
      <w:tr>
        <w:tc>
          <w:tcPr>
            <w:tcW w:type="dxa" w:w="2160"/>
          </w:tcPr>
          <w:p>
            <w:r>
              <w:t>Waist circumference, cm (exposure)</w:t>
            </w:r>
          </w:p>
        </w:tc>
        <w:tc>
          <w:tcPr>
            <w:tcW w:type="dxa" w:w="2160"/>
          </w:tcPr>
          <w:p>
            <w:r>
              <w:t>82.6</w:t>
            </w:r>
          </w:p>
        </w:tc>
        <w:tc>
          <w:tcPr>
            <w:tcW w:type="dxa" w:w="2160"/>
          </w:tcPr>
          <w:p>
            <w:r>
              <w:t>80.8</w:t>
            </w:r>
          </w:p>
        </w:tc>
        <w:tc>
          <w:tcPr>
            <w:tcW w:type="dxa" w:w="2160"/>
          </w:tcPr>
          <w:p>
            <w:r>
              <w:t>87.6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47.5</w:t>
            </w:r>
          </w:p>
        </w:tc>
        <w:tc>
          <w:tcPr>
            <w:tcW w:type="dxa" w:w="2160"/>
          </w:tcPr>
          <w:p>
            <w:r>
              <w:t>43.1</w:t>
            </w:r>
          </w:p>
        </w:tc>
        <w:tc>
          <w:tcPr>
            <w:tcW w:type="dxa" w:w="2160"/>
          </w:tcPr>
          <w:p>
            <w:r>
              <w:t>59.3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49.7%</w:t>
            </w:r>
          </w:p>
        </w:tc>
        <w:tc>
          <w:tcPr>
            <w:tcW w:type="dxa" w:w="2160"/>
          </w:tcPr>
          <w:p>
            <w:r>
              <w:t>47.9%</w:t>
            </w:r>
          </w:p>
        </w:tc>
        <w:tc>
          <w:tcPr>
            <w:tcW w:type="dxa" w:w="2160"/>
          </w:tcPr>
          <w:p>
            <w:r>
              <w:t>54.6%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23.5</w:t>
            </w:r>
          </w:p>
        </w:tc>
        <w:tc>
          <w:tcPr>
            <w:tcW w:type="dxa" w:w="2160"/>
          </w:tcPr>
          <w:p>
            <w:r>
              <w:t>25.3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43.0%</w:t>
            </w:r>
          </w:p>
        </w:tc>
        <w:tc>
          <w:tcPr>
            <w:tcW w:type="dxa" w:w="2160"/>
          </w:tcPr>
          <w:p>
            <w:r>
              <w:t>49.0%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90.2%</w:t>
            </w:r>
          </w:p>
        </w:tc>
        <w:tc>
          <w:tcPr>
            <w:tcW w:type="dxa" w:w="2160"/>
          </w:tcPr>
          <w:p>
            <w:r>
              <w:t>92.2%</w:t>
            </w:r>
          </w:p>
        </w:tc>
        <w:tc>
          <w:tcPr>
            <w:tcW w:type="dxa" w:w="2160"/>
          </w:tcPr>
          <w:p>
            <w:r>
              <w:t>84.7%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