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Hypertriglyceridemia (NCEP TG&gt;=150) (odds ratio per 1-SD 1.24 (95% CI 1.21 to 1.28), false discovery rate q &lt;0.001) among 34799 adults aged 20 years or older (a weighted Hypertriglyceridemia (NCEP TG&gt;=150) prevalence of 29.5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1.21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