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positively associated with Hypertriglyceridemia (NCEP TG&gt;=150) (odds ratio per 1-SD 1.75 (95% CI 1.55 to 1.98), false discovery rate q &lt;0.001) among 34799 adults aged 20 years or older (a weighted Hypertriglyceridemia (NCEP TG&gt;=150) prevalence of 29.5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1.75 (95% CI 1.55 to 1.98)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19.6</w:t>
            </w:r>
          </w:p>
        </w:tc>
        <w:tc>
          <w:tcPr>
            <w:tcW w:type="dxa" w:w="2160"/>
          </w:tcPr>
          <w:p>
            <w:r>
              <w:t>18.9</w:t>
            </w:r>
          </w:p>
        </w:tc>
        <w:tc>
          <w:tcPr>
            <w:tcW w:type="dxa" w:w="2160"/>
          </w:tcPr>
          <w:p>
            <w:r>
              <w:t>21.2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