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Body mass index, kg/m2 was positively associated with Hypertriglyceridemia (NCEP TG&gt;=150) (odds ratio per 1-SD 1.79 (95% CI 1.73 to 1.85), false discovery rate q &lt;0.001) among 34799 adults aged 20 years or older (a weighted Hypertriglyceridemia (NCEP TG&gt;=150) prevalence of 29.5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1.79 (95% CI 1.73 to 1.85)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