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positively associated with Hypertriglyceridemia (NCEP TG&gt;=150) (odds ratio 3.30 (95% CI 3.09 to 3.52), false discovery rate q &lt;0.001) among 34799 adults aged 20 years or older (a weighted Hypertriglyceridemia (NCEP TG&gt;=150) prevalence of 29.5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3.30 (95% CI 3.09 to 3.52)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41.2%</w:t>
            </w:r>
          </w:p>
        </w:tc>
        <w:tc>
          <w:tcPr>
            <w:tcW w:type="dxa" w:w="2160"/>
          </w:tcPr>
          <w:p>
            <w:r>
              <w:t>70.6%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