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Hypertriglyceridemia (NCEP TG&gt;=150) (odds ratio 1.91 (95% CI 1.77 to 2.07), false discovery rate q &lt;0.001) among 34799 adults aged 20 years or older (a weighted Hypertriglyceridemia (NCEP TG&gt;=150) prevalence of 29.5 percent, survey-weighted). Confounders: Age, years, Male sex, Body mass index, kg/m2,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1.91 (95% CI 1.77 to 2.07)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21.9%</w:t>
            </w:r>
          </w:p>
        </w:tc>
        <w:tc>
          <w:tcPr>
            <w:tcW w:type="dxa" w:w="2160"/>
          </w:tcPr>
          <w:p>
            <w:r>
              <w:t>17.5%</w:t>
            </w:r>
          </w:p>
        </w:tc>
        <w:tc>
          <w:tcPr>
            <w:tcW w:type="dxa" w:w="2160"/>
          </w:tcPr>
          <w:p>
            <w:r>
              <w:t>32.5%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