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Hypertriglyceridemia (NCEP TG&gt;=150) (odds ratio per 1-SD 0.98 (95% CI 0.94 to 1.03), false discovery rate q 0.489)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0.94 to 1.03)</w:t>
            </w:r>
          </w:p>
        </w:tc>
        <w:tc>
          <w:tcPr>
            <w:tcW w:type="dxa" w:w="1234"/>
          </w:tcPr>
          <w:p>
            <w:r>
              <w:t>0.440</w:t>
            </w:r>
          </w:p>
        </w:tc>
        <w:tc>
          <w:tcPr>
            <w:tcW w:type="dxa" w:w="1234"/>
          </w:tcPr>
          <w:p>
            <w:r>
              <w:t>0.489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101.0</w:t>
            </w:r>
          </w:p>
        </w:tc>
        <w:tc>
          <w:tcPr>
            <w:tcW w:type="dxa" w:w="2160"/>
          </w:tcPr>
          <w:p>
            <w:r>
              <w:t>102.1</w:t>
            </w:r>
          </w:p>
        </w:tc>
        <w:tc>
          <w:tcPr>
            <w:tcW w:type="dxa" w:w="2160"/>
          </w:tcPr>
          <w:p>
            <w:r>
              <w:t>98.4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