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Hypertriglyceridemia (NCEP TG&gt;=150)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Fasting glucose, mg/dL was positively associated with Hypertriglyceridemia (NCEP TG&gt;=150) (odds ratio per 1-SD 1.31 (95% CI 1.27 to 1.36), false discovery rate q &lt;0.001) among 34799 adults aged 20 years or older (a weighted Hypertriglyceridemia (NCEP TG&gt;=150) prevalence of 29.5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1.31 (95% CI 1.27 to 1.36)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Fasting glucose, mg/dL (exposure)</w:t>
            </w:r>
          </w:p>
        </w:tc>
        <w:tc>
          <w:tcPr>
            <w:tcW w:type="dxa" w:w="2160"/>
          </w:tcPr>
          <w:p>
            <w:r>
              <w:t>99.3</w:t>
            </w:r>
          </w:p>
        </w:tc>
        <w:tc>
          <w:tcPr>
            <w:tcW w:type="dxa" w:w="2160"/>
          </w:tcPr>
          <w:p>
            <w:r>
              <w:t>96.3</w:t>
            </w:r>
          </w:p>
        </w:tc>
        <w:tc>
          <w:tcPr>
            <w:tcW w:type="dxa" w:w="2160"/>
          </w:tcPr>
          <w:p>
            <w:r>
              <w:t>106.5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49.5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65.4%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23.3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38.2%</w:t>
            </w:r>
          </w:p>
        </w:tc>
        <w:tc>
          <w:tcPr>
            <w:tcW w:type="dxa" w:w="2160"/>
          </w:tcPr>
          <w:p>
            <w:r>
              <w:t>59.9%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