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Hypertriglyceridemia (NCEP TG&gt;=150)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HOMA-IR was positively associated with Hypertriglyceridemia (NCEP TG&gt;=150) (odds ratio per 1-SD of log 1.69 (95% CI 1.59 to 1.78), false discovery rate q &lt;0.001) among 34799 adults aged 20 years or older (a weighted Hypertriglyceridemia (NCEP TG&gt;=150) prevalence of 29.5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1.69 (95% CI 1.59 to 1.78)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34799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odds ratio is per 1-SD increase in the natural log of HOMA-IR.</w:t>
      </w:r>
    </w:p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Hypertriglyceridemia (NCEP TG&gt;=150)</w:t>
            </w:r>
          </w:p>
        </w:tc>
        <w:tc>
          <w:tcPr>
            <w:tcW w:type="dxa" w:w="2160"/>
          </w:tcPr>
          <w:p>
            <w:r>
              <w:t>Hypertriglyceridemia (NCEP TG&gt;=150)</w:t>
            </w:r>
          </w:p>
        </w:tc>
      </w:tr>
      <w:tr>
        <w:tc>
          <w:tcPr>
            <w:tcW w:type="dxa" w:w="2160"/>
          </w:tcPr>
          <w:p>
            <w:r>
              <w:t>HOMA-IR (exposure)</w:t>
            </w:r>
          </w:p>
        </w:tc>
        <w:tc>
          <w:tcPr>
            <w:tcW w:type="dxa" w:w="2160"/>
          </w:tcPr>
          <w:p>
            <w:r>
              <w:t>2.4</w:t>
            </w:r>
          </w:p>
        </w:tc>
        <w:tc>
          <w:tcPr>
            <w:tcW w:type="dxa" w:w="2160"/>
          </w:tcPr>
          <w:p>
            <w:r>
              <w:t>2.1</w:t>
            </w:r>
          </w:p>
        </w:tc>
        <w:tc>
          <w:tcPr>
            <w:tcW w:type="dxa" w:w="2160"/>
          </w:tcPr>
          <w:p>
            <w:r>
              <w:t>3.1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47.1</w:t>
            </w:r>
          </w:p>
        </w:tc>
        <w:tc>
          <w:tcPr>
            <w:tcW w:type="dxa" w:w="2160"/>
          </w:tcPr>
          <w:p>
            <w:r>
              <w:t>46.1</w:t>
            </w:r>
          </w:p>
        </w:tc>
        <w:tc>
          <w:tcPr>
            <w:tcW w:type="dxa" w:w="2160"/>
          </w:tcPr>
          <w:p>
            <w:r>
              <w:t>49.5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50.0%</w:t>
            </w:r>
          </w:p>
        </w:tc>
        <w:tc>
          <w:tcPr>
            <w:tcW w:type="dxa" w:w="2160"/>
          </w:tcPr>
          <w:p>
            <w:r>
              <w:t>43.6%</w:t>
            </w:r>
          </w:p>
        </w:tc>
        <w:tc>
          <w:tcPr>
            <w:tcW w:type="dxa" w:w="2160"/>
          </w:tcPr>
          <w:p>
            <w:r>
              <w:t>65.4%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23.3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44.6%</w:t>
            </w:r>
          </w:p>
        </w:tc>
        <w:tc>
          <w:tcPr>
            <w:tcW w:type="dxa" w:w="2160"/>
          </w:tcPr>
          <w:p>
            <w:r>
              <w:t>38.2%</w:t>
            </w:r>
          </w:p>
        </w:tc>
        <w:tc>
          <w:tcPr>
            <w:tcW w:type="dxa" w:w="2160"/>
          </w:tcPr>
          <w:p>
            <w:r>
              <w:t>59.9%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90.8%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