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Hypertriglyceridemia (NCEP TG&gt;=150) (odds ratio per 1-SD 0.99 (95% CI 0.94 to 1.03), false discovery rate q 0.613) among 34799 adults aged 20 years or older (a weighted Hypertriglyceridemia (NCEP TG&gt;=150) prevalence of 29.5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0.94 to 1.03)</w:t>
            </w:r>
          </w:p>
        </w:tc>
        <w:tc>
          <w:tcPr>
            <w:tcW w:type="dxa" w:w="1234"/>
          </w:tcPr>
          <w:p>
            <w:r>
              <w:t>0.567</w:t>
            </w:r>
          </w:p>
        </w:tc>
        <w:tc>
          <w:tcPr>
            <w:tcW w:type="dxa" w:w="1234"/>
          </w:tcPr>
          <w:p>
            <w:r>
              <w:t>0.613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164.6</w:t>
            </w:r>
          </w:p>
        </w:tc>
        <w:tc>
          <w:tcPr>
            <w:tcW w:type="dxa" w:w="2160"/>
          </w:tcPr>
          <w:p>
            <w:r>
              <w:t>164.0</w:t>
            </w:r>
          </w:p>
        </w:tc>
        <w:tc>
          <w:tcPr>
            <w:tcW w:type="dxa" w:w="2160"/>
          </w:tcPr>
          <w:p>
            <w:r>
              <w:t>166.1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