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index (HSI)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index (HSI) was positively associated with Hypertriglyceridemia (NCEP TG&gt;=150) (odds ratio per 1-SD 1.97 (95% CI 1.85 to 2.10), false discovery rate q &lt;0.001) among 34799 adults aged 20 years or older (a weighted Hypertriglyceridemia (NCEP TG&gt;=150) prevalence of 29.5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1.97 (95% CI 1.85 to 2.10)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Hepatic steatosis index (HSI) (exposure)</w:t>
            </w:r>
          </w:p>
        </w:tc>
        <w:tc>
          <w:tcPr>
            <w:tcW w:type="dxa" w:w="2160"/>
          </w:tcPr>
          <w:p>
            <w:r>
              <w:t>32.9</w:t>
            </w:r>
          </w:p>
        </w:tc>
        <w:tc>
          <w:tcPr>
            <w:tcW w:type="dxa" w:w="2160"/>
          </w:tcPr>
          <w:p>
            <w:r>
              <w:t>31.8</w:t>
            </w:r>
          </w:p>
        </w:tc>
        <w:tc>
          <w:tcPr>
            <w:tcW w:type="dxa" w:w="2160"/>
          </w:tcPr>
          <w:p>
            <w:r>
              <w:t>35.5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