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Hypertriglyceridemia (NCEP TG&gt;=150) (odds ratio per 1-SD 2.36 (95% CI 2.28 to 2.44),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2.36 (95% CI 2.28 to 2.44)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138.2</w:t>
            </w:r>
          </w:p>
        </w:tc>
        <w:tc>
          <w:tcPr>
            <w:tcW w:type="dxa" w:w="2160"/>
          </w:tcPr>
          <w:p>
            <w:r>
              <w:t>129.0</w:t>
            </w:r>
          </w:p>
        </w:tc>
        <w:tc>
          <w:tcPr>
            <w:tcW w:type="dxa" w:w="2160"/>
          </w:tcPr>
          <w:p>
            <w:r>
              <w:t>160.2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