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Hypertriglyceridemia (NCEP TG&gt;=150) (odds ratio per 1-SD 1.27 (95% CI 1.23 to 1.32),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1.23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115.6</w:t>
            </w:r>
          </w:p>
        </w:tc>
        <w:tc>
          <w:tcPr>
            <w:tcW w:type="dxa" w:w="2160"/>
          </w:tcPr>
          <w:p>
            <w:r>
              <w:t>122.7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