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fat mass, kg was positively associated with Hypertriglyceridemia (NCEP TG&gt;=150) (odds ratio per 1-SD 1.78 (95% CI 1.64 to 1.93), false discovery rate q &lt;0.001) among 34799 adults aged 20 years or older (a weighted Hypertriglyceridemia (NCEP TG&gt;=150) prevalence of 29.5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1.78 (95% CI 1.64 to 1.93)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17.4</w:t>
            </w:r>
          </w:p>
        </w:tc>
        <w:tc>
          <w:tcPr>
            <w:tcW w:type="dxa" w:w="2160"/>
          </w:tcPr>
          <w:p>
            <w:r>
              <w:t>16.8</w:t>
            </w:r>
          </w:p>
        </w:tc>
        <w:tc>
          <w:tcPr>
            <w:tcW w:type="dxa" w:w="2160"/>
          </w:tcPr>
          <w:p>
            <w:r>
              <w:t>18.9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