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positively associated with Hypertriglyceridemia (NCEP TG&gt;=150) (odds ratio per 1-SD 1.81 (95% CI 1.75 to 1.88), false discovery rate q &lt;0.001) among 34799 adults aged 20 years or older (a weighted Hypertriglyceridemia (NCEP TG&gt;=150) prevalence of 29.5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1.81 (95% CI 1.75 to 1.88)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65.3</w:t>
            </w:r>
          </w:p>
        </w:tc>
        <w:tc>
          <w:tcPr>
            <w:tcW w:type="dxa" w:w="2160"/>
          </w:tcPr>
          <w:p>
            <w:r>
              <w:t>62.9</w:t>
            </w:r>
          </w:p>
        </w:tc>
        <w:tc>
          <w:tcPr>
            <w:tcW w:type="dxa" w:w="2160"/>
          </w:tcPr>
          <w:p>
            <w:r>
              <w:t>70.9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