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Appendicular skeletal muscle mass, kg and Insulin resistance (HOMA-IR&gt;=2.5)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Appendicular skeletal muscle mass, kg was positively associated with Insulin resistance (HOMA-IR&gt;=2.5) (odds ratio per 1-SD 2.16 (95% CI 1.90 to 2.47), false discovery rate q &lt;0.001) among 15529 adults aged 20 years or older (a weighted Insulin resistance (HOMA-IR&gt;=2.5) prevalence of 30.9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measures are excluded as definitional or mediating.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Appendicular skeletal muscle mass, kg</w:t>
            </w:r>
          </w:p>
        </w:tc>
        <w:tc>
          <w:tcPr>
            <w:tcW w:type="dxa" w:w="1234"/>
          </w:tcPr>
          <w:p>
            <w:r>
              <w:t>Insulin resistance (HOMA-IR&gt;=2.5)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2.16 (95% CI 1.90 to 2.47)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15529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Insulin resistance (HOMA-IR&gt;=2.5)</w:t>
            </w:r>
          </w:p>
        </w:tc>
        <w:tc>
          <w:tcPr>
            <w:tcW w:type="dxa" w:w="2160"/>
          </w:tcPr>
          <w:p>
            <w:r>
              <w:t>Insulin resistance (HOMA-IR&gt;=2.5)</w:t>
            </w:r>
          </w:p>
        </w:tc>
      </w:tr>
      <w:tr>
        <w:tc>
          <w:tcPr>
            <w:tcW w:type="dxa" w:w="2160"/>
          </w:tcPr>
          <w:p>
            <w:r>
              <w:t>Appendicular skeletal muscle mass, kg (exposure)</w:t>
            </w:r>
          </w:p>
        </w:tc>
        <w:tc>
          <w:tcPr>
            <w:tcW w:type="dxa" w:w="2160"/>
          </w:tcPr>
          <w:p>
            <w:r>
              <w:t>19.6</w:t>
            </w:r>
          </w:p>
        </w:tc>
        <w:tc>
          <w:tcPr>
            <w:tcW w:type="dxa" w:w="2160"/>
          </w:tcPr>
          <w:p>
            <w:r>
              <w:t>19.1</w:t>
            </w:r>
          </w:p>
        </w:tc>
        <w:tc>
          <w:tcPr>
            <w:tcW w:type="dxa" w:w="2160"/>
          </w:tcPr>
          <w:p>
            <w:r>
              <w:t>20.4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49.7%</w:t>
            </w:r>
          </w:p>
        </w:tc>
        <w:tc>
          <w:tcPr>
            <w:tcW w:type="dxa" w:w="2160"/>
          </w:tcPr>
          <w:p>
            <w:r>
              <w:t>47.7%</w:t>
            </w:r>
          </w:p>
        </w:tc>
        <w:tc>
          <w:tcPr>
            <w:tcW w:type="dxa" w:w="2160"/>
          </w:tcPr>
          <w:p>
            <w:r>
              <w:t>54.3%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23.9</w:t>
            </w:r>
          </w:p>
        </w:tc>
        <w:tc>
          <w:tcPr>
            <w:tcW w:type="dxa" w:w="2160"/>
          </w:tcPr>
          <w:p>
            <w:r>
              <w:t>22.9</w:t>
            </w:r>
          </w:p>
        </w:tc>
        <w:tc>
          <w:tcPr>
            <w:tcW w:type="dxa" w:w="2160"/>
          </w:tcPr>
          <w:p>
            <w:r>
              <w:t>26.2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43.4%</w:t>
            </w:r>
          </w:p>
        </w:tc>
        <w:tc>
          <w:tcPr>
            <w:tcW w:type="dxa" w:w="2160"/>
          </w:tcPr>
          <w:p>
            <w:r>
              <w:t>49.3%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89.8%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88.3%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