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Aspartate aminotransferase, IU/L and Insulin resistance (HOMA-IR&gt;=2.5)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Aspartate aminotransferase, IU/L was positively associated with Insulin resistance (HOMA-IR&gt;=2.5) (odds ratio per 1-SD 1.24 (95% CI 1.16 to 1.32), false discovery rate q &lt;0.001) among 15529 adults aged 20 years or older (a weighted Insulin resistance (HOMA-IR&gt;=2.5) prevalence of 30.9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1.24 (95% CI 1.16 to 1.32)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15529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Insulin resistance (HOMA-IR&gt;=2.5)</w:t>
            </w:r>
          </w:p>
        </w:tc>
        <w:tc>
          <w:tcPr>
            <w:tcW w:type="dxa" w:w="2160"/>
          </w:tcPr>
          <w:p>
            <w:r>
              <w:t>Insulin resistance (HOMA-IR&gt;=2.5)</w:t>
            </w:r>
          </w:p>
        </w:tc>
      </w:tr>
      <w:tr>
        <w:tc>
          <w:tcPr>
            <w:tcW w:type="dxa" w:w="2160"/>
          </w:tcPr>
          <w:p>
            <w:r>
              <w:t>Aspartate aminotransferase, IU/L (exposure)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  <w:tc>
          <w:tcPr>
            <w:tcW w:type="dxa" w:w="2160"/>
          </w:tcPr>
          <w:p>
            <w:r>
              <w:t>22.3</w:t>
            </w:r>
          </w:p>
        </w:tc>
        <w:tc>
          <w:tcPr>
            <w:tcW w:type="dxa" w:w="2160"/>
          </w:tcPr>
          <w:p>
            <w:r>
              <w:t>26.8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  <w:tc>
          <w:tcPr>
            <w:tcW w:type="dxa" w:w="2160"/>
          </w:tcPr>
          <w:p>
            <w:r>
              <w:t>46.1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  <w:tc>
          <w:tcPr>
            <w:tcW w:type="dxa" w:w="2160"/>
          </w:tcPr>
          <w:p>
            <w:r>
              <w:t>54.3%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22.9</w:t>
            </w:r>
          </w:p>
        </w:tc>
        <w:tc>
          <w:tcPr>
            <w:tcW w:type="dxa" w:w="2160"/>
          </w:tcPr>
          <w:p>
            <w:r>
              <w:t>26.2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45.2%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89.8%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88.3%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