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Atherogenic dyslipidemia (high TG + low HDL) and Insulin resistance (HOMA-IR&gt;=2.5)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Atherogenic dyslipidemia (high TG + low HDL) was positively associated with Insulin resistance (HOMA-IR&gt;=2.5) (odds ratio 2.39 (95% CI 2.12 to 2.69), false discovery rate q &lt;0.001) among 15529 adults aged 20 years or older (a weighted Insulin resistance (HOMA-IR&gt;=2.5) prevalence of 30.9 percent, survey-weighted). Confounders: Age, years, Male sex, Body mass index, kg/m2,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Glycemic measures are excluded as definitional or mediating. Adjustment for this exposure: Age, years, Male sex, Body mass index, kg/m2,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Atherogenic dyslipidemia (high TG + low HDL)</w:t>
            </w:r>
          </w:p>
        </w:tc>
        <w:tc>
          <w:tcPr>
            <w:tcW w:type="dxa" w:w="1234"/>
          </w:tcPr>
          <w:p>
            <w:r>
              <w:t>Insulin resistance (HOMA-IR&gt;=2.5)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2.39 (95% CI 2.12 to 2.69)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15529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Insulin resistance (HOMA-IR&gt;=2.5)</w:t>
            </w:r>
          </w:p>
        </w:tc>
        <w:tc>
          <w:tcPr>
            <w:tcW w:type="dxa" w:w="2160"/>
          </w:tcPr>
          <w:p>
            <w:r>
              <w:t>Insulin resistance (HOMA-IR&gt;=2.5)</w:t>
            </w:r>
          </w:p>
        </w:tc>
      </w:tr>
      <w:tr>
        <w:tc>
          <w:tcPr>
            <w:tcW w:type="dxa" w:w="2160"/>
          </w:tcPr>
          <w:p>
            <w:r>
              <w:t>Atherogenic dyslipidemia (high TG + low HDL) (exposure)</w:t>
            </w:r>
          </w:p>
        </w:tc>
        <w:tc>
          <w:tcPr>
            <w:tcW w:type="dxa" w:w="2160"/>
          </w:tcPr>
          <w:p>
            <w:r>
              <w:t>16.5%</w:t>
            </w:r>
          </w:p>
        </w:tc>
        <w:tc>
          <w:tcPr>
            <w:tcW w:type="dxa" w:w="2160"/>
          </w:tcPr>
          <w:p>
            <w:r>
              <w:t>10.8%</w:t>
            </w:r>
          </w:p>
        </w:tc>
        <w:tc>
          <w:tcPr>
            <w:tcW w:type="dxa" w:w="2160"/>
          </w:tcPr>
          <w:p>
            <w:r>
              <w:t>29.2%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46.7</w:t>
            </w:r>
          </w:p>
        </w:tc>
        <w:tc>
          <w:tcPr>
            <w:tcW w:type="dxa" w:w="2160"/>
          </w:tcPr>
          <w:p>
            <w:r>
              <w:t>46.1</w:t>
            </w:r>
          </w:p>
        </w:tc>
        <w:tc>
          <w:tcPr>
            <w:tcW w:type="dxa" w:w="2160"/>
          </w:tcPr>
          <w:p>
            <w:r>
              <w:t>47.9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49.7%</w:t>
            </w:r>
          </w:p>
        </w:tc>
        <w:tc>
          <w:tcPr>
            <w:tcW w:type="dxa" w:w="2160"/>
          </w:tcPr>
          <w:p>
            <w:r>
              <w:t>47.7%</w:t>
            </w:r>
          </w:p>
        </w:tc>
        <w:tc>
          <w:tcPr>
            <w:tcW w:type="dxa" w:w="2160"/>
          </w:tcPr>
          <w:p>
            <w:r>
              <w:t>54.3%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23.9</w:t>
            </w:r>
          </w:p>
        </w:tc>
        <w:tc>
          <w:tcPr>
            <w:tcW w:type="dxa" w:w="2160"/>
          </w:tcPr>
          <w:p>
            <w:r>
              <w:t>22.9</w:t>
            </w:r>
          </w:p>
        </w:tc>
        <w:tc>
          <w:tcPr>
            <w:tcW w:type="dxa" w:w="2160"/>
          </w:tcPr>
          <w:p>
            <w:r>
              <w:t>26.2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45.2%</w:t>
            </w:r>
          </w:p>
        </w:tc>
        <w:tc>
          <w:tcPr>
            <w:tcW w:type="dxa" w:w="2160"/>
          </w:tcPr>
          <w:p>
            <w:r>
              <w:t>43.4%</w:t>
            </w:r>
          </w:p>
        </w:tc>
        <w:tc>
          <w:tcPr>
            <w:tcW w:type="dxa" w:w="2160"/>
          </w:tcPr>
          <w:p>
            <w:r>
              <w:t>49.3%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89.8%</w:t>
            </w:r>
          </w:p>
        </w:tc>
        <w:tc>
          <w:tcPr>
            <w:tcW w:type="dxa" w:w="2160"/>
          </w:tcPr>
          <w:p>
            <w:r>
              <w:t>90.5%</w:t>
            </w:r>
          </w:p>
        </w:tc>
        <w:tc>
          <w:tcPr>
            <w:tcW w:type="dxa" w:w="2160"/>
          </w:tcPr>
          <w:p>
            <w:r>
              <w:t>88.3%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