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eGFR (CKD-EPI 2021), mL/min/1.73m2 and Insulin resistance (HOMA-IR&gt;=2.5)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eGFR (CKD-EPI 2021), mL/min/1.73m2 was inversely associated with Insulin resistance (HOMA-IR&gt;=2.5) (odds ratio per 1-SD 0.97 (95% CI 0.90 to 1.05), false discovery rate q 0.545) among 15529 adults aged 20 years or older (a weighted Insulin resistance (HOMA-IR&gt;=2.5) prevalence of 30.9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0.97 (95% CI 0.90 to 1.05)</w:t>
            </w:r>
          </w:p>
        </w:tc>
        <w:tc>
          <w:tcPr>
            <w:tcW w:type="dxa" w:w="1234"/>
          </w:tcPr>
          <w:p>
            <w:r>
              <w:t>0.497</w:t>
            </w:r>
          </w:p>
        </w:tc>
        <w:tc>
          <w:tcPr>
            <w:tcW w:type="dxa" w:w="1234"/>
          </w:tcPr>
          <w:p>
            <w:r>
              <w:t>0.545</w:t>
            </w:r>
          </w:p>
        </w:tc>
        <w:tc>
          <w:tcPr>
            <w:tcW w:type="dxa" w:w="1234"/>
          </w:tcPr>
          <w:p>
            <w:r>
              <w:t>15529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Insulin resistance (HOMA-IR&gt;=2.5)</w:t>
            </w:r>
          </w:p>
        </w:tc>
        <w:tc>
          <w:tcPr>
            <w:tcW w:type="dxa" w:w="2160"/>
          </w:tcPr>
          <w:p>
            <w:r>
              <w:t>Insulin resistance (HOMA-IR&gt;=2.5)</w:t>
            </w:r>
          </w:p>
        </w:tc>
      </w:tr>
      <w:tr>
        <w:tc>
          <w:tcPr>
            <w:tcW w:type="dxa" w:w="2160"/>
          </w:tcPr>
          <w:p>
            <w:r>
              <w:t>eGFR (CKD-EPI 2021), mL/min/1.73m2 (exposure)</w:t>
            </w:r>
          </w:p>
        </w:tc>
        <w:tc>
          <w:tcPr>
            <w:tcW w:type="dxa" w:w="2160"/>
          </w:tcPr>
          <w:p>
            <w:r>
              <w:t>101.5</w:t>
            </w:r>
          </w:p>
        </w:tc>
        <w:tc>
          <w:tcPr>
            <w:tcW w:type="dxa" w:w="2160"/>
          </w:tcPr>
          <w:p>
            <w:r>
              <w:t>102.1</w:t>
            </w:r>
          </w:p>
        </w:tc>
        <w:tc>
          <w:tcPr>
            <w:tcW w:type="dxa" w:w="2160"/>
          </w:tcPr>
          <w:p>
            <w:r>
              <w:t>100.0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54.3%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22.9</w:t>
            </w:r>
          </w:p>
        </w:tc>
        <w:tc>
          <w:tcPr>
            <w:tcW w:type="dxa" w:w="2160"/>
          </w:tcPr>
          <w:p>
            <w:r>
              <w:t>26.2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45.2%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89.8%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88.3%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