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positively associated with Insulin resistance (HOMA-IR&gt;=2.5) (odds ratio per 1-SD 1.08 (95% CI 1.03 to 1.13), false discovery rate q 0.004) among 15529 adults aged 20 years or older (a weighted Insulin resistance (HOMA-IR&gt;=2.5) prevalence of 30.9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1.08 (95% CI 1.03 to 1.13)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Platelet count, 10^3/uL (exposure)</w:t>
            </w:r>
          </w:p>
        </w:tc>
        <w:tc>
          <w:tcPr>
            <w:tcW w:type="dxa" w:w="2160"/>
          </w:tcPr>
          <w:p>
            <w:r>
              <w:t>256.3</w:t>
            </w:r>
          </w:p>
        </w:tc>
        <w:tc>
          <w:tcPr>
            <w:tcW w:type="dxa" w:w="2160"/>
          </w:tcPr>
          <w:p>
            <w:r>
              <w:t>254.5</w:t>
            </w:r>
          </w:p>
        </w:tc>
        <w:tc>
          <w:tcPr>
            <w:tcW w:type="dxa" w:w="2160"/>
          </w:tcPr>
          <w:p>
            <w:r>
              <w:t>260.4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