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Serum 25(OH)D, ng/mL and Insulin resistance (HOMA-IR&gt;=2.5)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Serum 25(OH)D, ng/mL was inversely associated with Insulin resistance (HOMA-IR&gt;=2.5) (odds ratio per 1-SD 0.87 (95% CI 0.81 to 0.94), false discovery rate q &lt;0.001) among 15529 adults aged 20 years or older (a weighted Insulin resistance (HOMA-IR&gt;=2.5) prevalence of 30.9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Glycemic measures are excluded as definitional or mediating.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Serum 25(OH)D, ng/mL</w:t>
            </w:r>
          </w:p>
        </w:tc>
        <w:tc>
          <w:tcPr>
            <w:tcW w:type="dxa" w:w="1234"/>
          </w:tcPr>
          <w:p>
            <w:r>
              <w:t>Insulin resistance (HOMA-IR&gt;=2.5)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0.87 (95% CI 0.81 to 0.94)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15529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Insulin resistance (HOMA-IR&gt;=2.5)</w:t>
            </w:r>
          </w:p>
        </w:tc>
        <w:tc>
          <w:tcPr>
            <w:tcW w:type="dxa" w:w="2160"/>
          </w:tcPr>
          <w:p>
            <w:r>
              <w:t>Insulin resistance (HOMA-IR&gt;=2.5)</w:t>
            </w:r>
          </w:p>
        </w:tc>
      </w:tr>
      <w:tr>
        <w:tc>
          <w:tcPr>
            <w:tcW w:type="dxa" w:w="2160"/>
          </w:tcPr>
          <w:p>
            <w:r>
              <w:t>Serum 25(OH)D, ng/mL (exposure)</w:t>
            </w:r>
          </w:p>
        </w:tc>
        <w:tc>
          <w:tcPr>
            <w:tcW w:type="dxa" w:w="2160"/>
          </w:tcPr>
          <w:p>
            <w:r>
              <w:t>18.3</w:t>
            </w:r>
          </w:p>
        </w:tc>
        <w:tc>
          <w:tcPr>
            <w:tcW w:type="dxa" w:w="2160"/>
          </w:tcPr>
          <w:p>
            <w:r>
              <w:t>18.4</w:t>
            </w:r>
          </w:p>
        </w:tc>
        <w:tc>
          <w:tcPr>
            <w:tcW w:type="dxa" w:w="2160"/>
          </w:tcPr>
          <w:p>
            <w:r>
              <w:t>18.0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46.7</w:t>
            </w:r>
          </w:p>
        </w:tc>
        <w:tc>
          <w:tcPr>
            <w:tcW w:type="dxa" w:w="2160"/>
          </w:tcPr>
          <w:p>
            <w:r>
              <w:t>46.1</w:t>
            </w:r>
          </w:p>
        </w:tc>
        <w:tc>
          <w:tcPr>
            <w:tcW w:type="dxa" w:w="2160"/>
          </w:tcPr>
          <w:p>
            <w:r>
              <w:t>47.9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49.7%</w:t>
            </w:r>
          </w:p>
        </w:tc>
        <w:tc>
          <w:tcPr>
            <w:tcW w:type="dxa" w:w="2160"/>
          </w:tcPr>
          <w:p>
            <w:r>
              <w:t>47.7%</w:t>
            </w:r>
          </w:p>
        </w:tc>
        <w:tc>
          <w:tcPr>
            <w:tcW w:type="dxa" w:w="2160"/>
          </w:tcPr>
          <w:p>
            <w:r>
              <w:t>54.3%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23.9</w:t>
            </w:r>
          </w:p>
        </w:tc>
        <w:tc>
          <w:tcPr>
            <w:tcW w:type="dxa" w:w="2160"/>
          </w:tcPr>
          <w:p>
            <w:r>
              <w:t>22.9</w:t>
            </w:r>
          </w:p>
        </w:tc>
        <w:tc>
          <w:tcPr>
            <w:tcW w:type="dxa" w:w="2160"/>
          </w:tcPr>
          <w:p>
            <w:r>
              <w:t>26.2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45.2%</w:t>
            </w:r>
          </w:p>
        </w:tc>
        <w:tc>
          <w:tcPr>
            <w:tcW w:type="dxa" w:w="2160"/>
          </w:tcPr>
          <w:p>
            <w:r>
              <w:t>43.4%</w:t>
            </w:r>
          </w:p>
        </w:tc>
        <w:tc>
          <w:tcPr>
            <w:tcW w:type="dxa" w:w="2160"/>
          </w:tcPr>
          <w:p>
            <w:r>
              <w:t>49.3%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89.8%</w:t>
            </w:r>
          </w:p>
        </w:tc>
        <w:tc>
          <w:tcPr>
            <w:tcW w:type="dxa" w:w="2160"/>
          </w:tcPr>
          <w:p>
            <w:r>
              <w:t>90.5%</w:t>
            </w:r>
          </w:p>
        </w:tc>
        <w:tc>
          <w:tcPr>
            <w:tcW w:type="dxa" w:w="2160"/>
          </w:tcPr>
          <w:p>
            <w:r>
              <w:t>88.3%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