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LDL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Hypertriglyceridemia (NCEP TG&gt;=150) was positively associated with LDL cholesterol, mg/dL (beta coefficient 7.27 (95% CI 5.69 to 8.85), false discovery rate q &lt;0.001) among 12077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7.27 (95% CI 5.69 to 8.85)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Hypertriglyceridemia (NCEP TG&gt;=150) (exposure)</w:t>
            </w:r>
          </w:p>
        </w:tc>
        <w:tc>
          <w:tcPr>
            <w:tcW w:type="dxa" w:w="4320"/>
          </w:tcPr>
          <w:p>
            <w:r>
              <w:t>44.2%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55.2%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48.8%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24.5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