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inversely associated with LDL cholesterol, mg/dL (beta coefficient -0.39 (95% CI -8.20 to 7.42), false discovery rate q 0.931) among 12077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-0.39 (95% CI -8.20 to 7.42)</w:t>
            </w:r>
          </w:p>
        </w:tc>
        <w:tc>
          <w:tcPr>
            <w:tcW w:type="dxa" w:w="1234"/>
          </w:tcPr>
          <w:p>
            <w:r>
              <w:t>0.922</w:t>
            </w:r>
          </w:p>
        </w:tc>
        <w:tc>
          <w:tcPr>
            <w:tcW w:type="dxa" w:w="1234"/>
          </w:tcPr>
          <w:p>
            <w:r>
              <w:t>0.931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21.5%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