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Total fat mass, kg and LDL cholesterol, mg/dL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Total fat mass, kg was positively associated with LDL cholesterol, mg/dL (beta coefficient per 1-SD 6.63 (95% CI 4.45 to 8.81), false discovery rate q &lt;0.001) among 12077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Total fat mass, kg</w:t>
            </w:r>
          </w:p>
        </w:tc>
        <w:tc>
          <w:tcPr>
            <w:tcW w:type="dxa" w:w="1234"/>
          </w:tcPr>
          <w:p>
            <w:r>
              <w:t>LDL cholesterol,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6.63 (95% CI 4.45 to 8.81)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12077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Total fat mass, kg (exposure)</w:t>
            </w:r>
          </w:p>
        </w:tc>
        <w:tc>
          <w:tcPr>
            <w:tcW w:type="dxa" w:w="4320"/>
          </w:tcPr>
          <w:p>
            <w:r>
              <w:t>17.6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47.9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55.2%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48.8%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91.9%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24.5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