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ASM / height^2, kg/m2 and Leukocytosis (WBC&gt;11)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ASM / height^2, kg/m2 was inversely associated with Leukocytosis (WBC&gt;11) (odds ratio per 1-SD 0.98 (95% CI 0.73 to 1.30), false discovery rate q 0.904) among 35736 adults aged 20 years or older (a weighted Leukocytosis (WBC&gt;11) prevalence of 1.6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 (smoking raises the white-cell count).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0.98 (95% CI 0.73 to 1.30)</w:t>
            </w:r>
          </w:p>
        </w:tc>
        <w:tc>
          <w:tcPr>
            <w:tcW w:type="dxa" w:w="1234"/>
          </w:tcPr>
          <w:p>
            <w:r>
              <w:t>0.885</w:t>
            </w:r>
          </w:p>
        </w:tc>
        <w:tc>
          <w:tcPr>
            <w:tcW w:type="dxa" w:w="1234"/>
          </w:tcPr>
          <w:p>
            <w:r>
              <w:t>0.904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Leukocytosis (WBC&gt;11)</w:t>
            </w:r>
          </w:p>
        </w:tc>
        <w:tc>
          <w:tcPr>
            <w:tcW w:type="dxa" w:w="2160"/>
          </w:tcPr>
          <w:p>
            <w:r>
              <w:t>Leukocytosis (WBC&gt;11)</w:t>
            </w:r>
          </w:p>
        </w:tc>
      </w:tr>
      <w:tr>
        <w:tc>
          <w:tcPr>
            <w:tcW w:type="dxa" w:w="2160"/>
          </w:tcPr>
          <w:p>
            <w:r>
              <w:t>ASM / height^2, kg/m2 (exposure)</w:t>
            </w:r>
          </w:p>
        </w:tc>
        <w:tc>
          <w:tcPr>
            <w:tcW w:type="dxa" w:w="2160"/>
          </w:tcPr>
          <w:p>
            <w:r>
              <w:t>7.2</w:t>
            </w:r>
          </w:p>
        </w:tc>
        <w:tc>
          <w:tcPr>
            <w:tcW w:type="dxa" w:w="2160"/>
          </w:tcPr>
          <w:p>
            <w:r>
              <w:t>7.2</w:t>
            </w:r>
          </w:p>
        </w:tc>
        <w:tc>
          <w:tcPr>
            <w:tcW w:type="dxa" w:w="2160"/>
          </w:tcPr>
          <w:p>
            <w:r>
              <w:t>7.4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66.4%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  <w:tc>
          <w:tcPr>
            <w:tcW w:type="dxa" w:w="2160"/>
          </w:tcPr>
          <w:p>
            <w:r>
              <w:t>68.4%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89.7%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25.1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