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Leukocytosis (WBC&gt;11)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Abdominal obesity was positively associated with Leukocytosis (WBC&gt;11) (odds ratio 1.82 (95% CI 1.45 to 2.29), false discovery rate q &lt;0.001) among 35736 adults aged 20 years or older (a weighted Leukocytosis (WBC&gt;11) prevalence of 1.6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1.82 (95% CI 1.45 to 2.29)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Abdominal obesity (exposure)</w:t>
            </w:r>
          </w:p>
        </w:tc>
        <w:tc>
          <w:tcPr>
            <w:tcW w:type="dxa" w:w="2160"/>
          </w:tcPr>
          <w:p>
            <w:r>
              <w:t>29.9%</w:t>
            </w:r>
          </w:p>
        </w:tc>
        <w:tc>
          <w:tcPr>
            <w:tcW w:type="dxa" w:w="2160"/>
          </w:tcPr>
          <w:p>
            <w:r>
              <w:t>29.6%</w:t>
            </w:r>
          </w:p>
        </w:tc>
        <w:tc>
          <w:tcPr>
            <w:tcW w:type="dxa" w:w="2160"/>
          </w:tcPr>
          <w:p>
            <w:r>
              <w:t>45.3%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66.4%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  <w:tc>
          <w:tcPr>
            <w:tcW w:type="dxa" w:w="2160"/>
          </w:tcPr>
          <w:p>
            <w:r>
              <w:t>68.4%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89.7%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