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positively associated with Leukocytosis (WBC&gt;11) (odds ratio 1.47 (95% CI 1.12 to 1.94), false discovery rate q 0.009) among 35736 adults aged 20 years or older (a weighted Leukocytosis (WBC&gt;11) prevalence of 1.6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1.47 (95% CI 1.12 to 1.94)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15.0%</w:t>
            </w:r>
          </w:p>
        </w:tc>
        <w:tc>
          <w:tcPr>
            <w:tcW w:type="dxa" w:w="2160"/>
          </w:tcPr>
          <w:p>
            <w:r>
              <w:t>14.9%</w:t>
            </w:r>
          </w:p>
        </w:tc>
        <w:tc>
          <w:tcPr>
            <w:tcW w:type="dxa" w:w="2160"/>
          </w:tcPr>
          <w:p>
            <w:r>
              <w:t>24.0%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