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Diastolic blood pressure, mmHg was positively associated with Leukocytosis (WBC&gt;11) (odds ratio per 1-SD 1.00 (95% CI 0.89 to 1.13), false discovery rate q 0.990) among 35736 adults aged 20 years or older (a weighted Leukocytosis (WBC&gt;11) prevalence of 1.6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1.00 (95% CI 0.89 to 1.13)</w:t>
            </w:r>
          </w:p>
        </w:tc>
        <w:tc>
          <w:tcPr>
            <w:tcW w:type="dxa" w:w="1234"/>
          </w:tcPr>
          <w:p>
            <w:r>
              <w:t>0.988</w:t>
            </w:r>
          </w:p>
        </w:tc>
        <w:tc>
          <w:tcPr>
            <w:tcW w:type="dxa" w:w="1234"/>
          </w:tcPr>
          <w:p>
            <w:r>
              <w:t>0.990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Diastolic blood pressure, mmHg (exposure)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75.7</w:t>
            </w:r>
          </w:p>
        </w:tc>
        <w:tc>
          <w:tcPr>
            <w:tcW w:type="dxa" w:w="2160"/>
          </w:tcPr>
          <w:p>
            <w:r>
              <w:t>77.5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